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cs="Calibri" w:cstheme="minorHAnsi"/>
          <w:b/>
          <w:sz w:val="36"/>
          <w:szCs w:val="36"/>
          <w:u w:val="single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margin">
              <wp:posOffset>-171450</wp:posOffset>
            </wp:positionH>
            <wp:positionV relativeFrom="paragraph">
              <wp:posOffset>-182880</wp:posOffset>
            </wp:positionV>
            <wp:extent cx="3257550" cy="5086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50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Calibri" w:cstheme="minorHAnsi"/>
          <w:b/>
          <w:sz w:val="36"/>
          <w:szCs w:val="36"/>
          <w:u w:val="single"/>
        </w:rPr>
        <w:t>CTM Parish Risk Assessment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bCs/>
          <w:sz w:val="32"/>
          <w:szCs w:val="32"/>
        </w:rPr>
      </w:pPr>
      <w:r>
        <w:rPr>
          <w:rFonts w:cs="Calibri" w:cstheme="minorHAnsi"/>
          <w:bCs/>
          <w:sz w:val="32"/>
          <w:szCs w:val="32"/>
        </w:rPr>
      </w:r>
    </w:p>
    <w:tbl>
      <w:tblPr>
        <w:tblStyle w:val="TableGrid"/>
        <w:tblW w:w="1544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396"/>
        <w:gridCol w:w="5496"/>
        <w:gridCol w:w="6554"/>
      </w:tblGrid>
      <w:tr>
        <w:trPr/>
        <w:tc>
          <w:tcPr>
            <w:tcW w:w="3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b/>
                <w:bCs/>
                <w:sz w:val="28"/>
                <w:szCs w:val="28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8"/>
                <w:szCs w:val="28"/>
                <w:lang w:val="en-US" w:eastAsia="en-US" w:bidi="ar-SA"/>
              </w:rPr>
              <w:t>Church</w:t>
            </w:r>
          </w:p>
        </w:tc>
        <w:tc>
          <w:tcPr>
            <w:tcW w:w="54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bCs/>
                <w:sz w:val="24"/>
                <w:szCs w:val="24"/>
              </w:rPr>
            </w:pPr>
            <w:r>
              <w:rPr>
                <w:rFonts w:eastAsia="Calibri" w:cs="Calibri" w:cstheme="minorHAnsi"/>
                <w:bCs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655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eastAsia="Calibri" w:cs="Calibri" w:cstheme="minorHAnsi"/>
                <w:b/>
                <w:kern w:val="0"/>
                <w:sz w:val="28"/>
                <w:szCs w:val="28"/>
                <w:lang w:val="en-US" w:eastAsia="en-US" w:bidi="ar-SA"/>
              </w:rPr>
              <w:t>Parish office</w:t>
              <w:tab/>
              <w:tab/>
            </w:r>
            <w:r>
              <w:rPr>
                <w:rFonts w:eastAsia="Calibri" w:cs="Calibri" w:cstheme="minorHAnsi"/>
                <w:color w:val="000000"/>
                <w:kern w:val="0"/>
                <w:sz w:val="24"/>
                <w:szCs w:val="24"/>
                <w:shd w:fill="FFFFFF" w:val="clear"/>
                <w:lang w:val="en-US" w:eastAsia="en-US" w:bidi="ar-SA"/>
              </w:rPr>
              <w:t>0118 996 8836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4"/>
                <w:szCs w:val="24"/>
                <w:shd w:fill="FFFFFF" w:val="clear"/>
                <w:lang w:val="en-US" w:eastAsia="en-US" w:bidi="ar-SA"/>
              </w:rPr>
              <w:tab/>
              <w:tab/>
              <w:tab/>
            </w:r>
            <w:hyperlink r:id="rId3">
              <w:r>
                <w:rPr>
                  <w:rStyle w:val="Hyperlink"/>
                  <w:rFonts w:eastAsia="Calibri" w:cs="Calibri" w:cstheme="minorHAnsi"/>
                  <w:color w:val="auto"/>
                  <w:kern w:val="0"/>
                  <w:sz w:val="24"/>
                  <w:szCs w:val="24"/>
                  <w:u w:val="none"/>
                  <w:shd w:fill="FFFFFF" w:val="clear"/>
                  <w:lang w:val="en-US" w:eastAsia="en-US" w:bidi="ar-SA"/>
                </w:rPr>
                <w:t>admin@ctmparish.org.uk</w:t>
              </w:r>
            </w:hyperlink>
          </w:p>
        </w:tc>
      </w:tr>
      <w:tr>
        <w:trPr/>
        <w:tc>
          <w:tcPr>
            <w:tcW w:w="3396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b/>
                <w:bCs/>
                <w:sz w:val="28"/>
                <w:szCs w:val="28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8"/>
                <w:szCs w:val="28"/>
                <w:lang w:val="en-US" w:eastAsia="en-US" w:bidi="ar-SA"/>
              </w:rPr>
              <w:t>Activity</w:t>
            </w:r>
          </w:p>
        </w:tc>
        <w:tc>
          <w:tcPr>
            <w:tcW w:w="120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bCs/>
                <w:sz w:val="24"/>
                <w:szCs w:val="24"/>
              </w:rPr>
            </w:pPr>
            <w:r>
              <w:rPr>
                <w:rFonts w:eastAsia="Calibri" w:cs="Calibri" w:cstheme="minorHAnsi"/>
                <w:bCs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3396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8"/>
                <w:szCs w:val="28"/>
                <w:lang w:val="en-US" w:eastAsia="en-US" w:bidi="ar-SA"/>
              </w:rPr>
              <w:t>Named Lead</w:t>
            </w:r>
          </w:p>
        </w:tc>
        <w:tc>
          <w:tcPr>
            <w:tcW w:w="120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bCs/>
                <w:sz w:val="24"/>
                <w:szCs w:val="24"/>
              </w:rPr>
            </w:pPr>
            <w:r>
              <w:rPr>
                <w:rFonts w:eastAsia="Calibri" w:cs="Calibri" w:cstheme="minorHAnsi"/>
                <w:bCs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3396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b/>
                <w:sz w:val="28"/>
                <w:szCs w:val="28"/>
                <w:u w:val="single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8"/>
                <w:szCs w:val="28"/>
                <w:lang w:val="en-US" w:eastAsia="en-US" w:bidi="ar-SA"/>
              </w:rPr>
              <w:t>Additional information and Outline of Activity under assessment</w:t>
            </w:r>
          </w:p>
        </w:tc>
        <w:tc>
          <w:tcPr>
            <w:tcW w:w="120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bCs/>
                <w:i/>
                <w:iCs/>
                <w:sz w:val="28"/>
                <w:szCs w:val="28"/>
              </w:rPr>
            </w:pPr>
            <w:r>
              <w:rPr>
                <w:rFonts w:eastAsia="Calibri" w:cs="Calibri" w:cstheme="minorHAnsi"/>
                <w:bCs/>
                <w:i/>
                <w:iCs/>
                <w:kern w:val="0"/>
                <w:sz w:val="28"/>
                <w:szCs w:val="28"/>
                <w:lang w:val="en-US" w:eastAsia="en-US" w:bidi="ar-SA"/>
              </w:rPr>
              <w:t>eg. Ratios adult/child, DBS, Safeguarding level requirements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bCs/>
                <w:sz w:val="24"/>
                <w:szCs w:val="24"/>
              </w:rPr>
            </w:pPr>
            <w:r>
              <w:rPr>
                <w:rFonts w:eastAsia="Calibri" w:cs="Calibri" w:cstheme="minorHAnsi"/>
                <w:bCs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/>
        <w:tc>
          <w:tcPr>
            <w:tcW w:w="3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eastAsia="Calibri" w:cs="Calibri" w:cstheme="minorHAnsi"/>
                <w:b/>
                <w:bCs/>
                <w:sz w:val="28"/>
                <w:szCs w:val="28"/>
              </w:rPr>
            </w:pPr>
            <w:r>
              <w:rPr>
                <w:rFonts w:eastAsia="Calibri" w:cs="Calibri" w:cstheme="minorHAnsi"/>
                <w:b/>
                <w:bCs/>
                <w:kern w:val="0"/>
                <w:sz w:val="28"/>
                <w:szCs w:val="28"/>
                <w:lang w:val="en-US" w:eastAsia="en-US" w:bidi="ar-SA"/>
              </w:rPr>
              <w:t>Date of Risk Assessment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i/>
                <w:iCs/>
                <w:sz w:val="28"/>
                <w:szCs w:val="28"/>
                <w:u w:val="single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en-US" w:eastAsia="en-US" w:bidi="ar-SA"/>
              </w:rPr>
              <w:t>to be reviewed annually for regular events</w:t>
            </w:r>
          </w:p>
        </w:tc>
        <w:tc>
          <w:tcPr>
            <w:tcW w:w="1205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bCs/>
                <w:sz w:val="24"/>
                <w:szCs w:val="24"/>
              </w:rPr>
            </w:pPr>
            <w:r>
              <w:rPr>
                <w:rFonts w:eastAsia="Calibri" w:cs="Calibri" w:cstheme="minorHAnsi"/>
                <w:bCs/>
                <w:kern w:val="0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tbl>
      <w:tblPr>
        <w:tblStyle w:val="TableGrid"/>
        <w:tblW w:w="1544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1" w:val="06a0"/>
      </w:tblPr>
      <w:tblGrid>
        <w:gridCol w:w="2122"/>
        <w:gridCol w:w="1700"/>
        <w:gridCol w:w="425"/>
        <w:gridCol w:w="11199"/>
      </w:tblGrid>
      <w:tr>
        <w:trPr>
          <w:trHeight w:val="300" w:hRule="atLeast"/>
        </w:trPr>
        <w:tc>
          <w:tcPr>
            <w:tcW w:w="21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  <w:t>NSPCC Ratio Guidelines Age Range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  <w:t>Adult - Child</w:t>
            </w: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</w:r>
          </w:p>
        </w:tc>
        <w:tc>
          <w:tcPr>
            <w:tcW w:w="11199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6"/>
                <w:szCs w:val="26"/>
              </w:rPr>
            </w:pPr>
            <w:r>
              <w:rPr>
                <w:rFonts w:eastAsia="Calibri" w:cs="Calibri" w:cstheme="minorHAnsi"/>
                <w:kern w:val="0"/>
                <w:sz w:val="26"/>
                <w:szCs w:val="26"/>
                <w:lang w:val="en-US" w:eastAsia="en-US" w:bidi="ar-SA"/>
              </w:rPr>
              <w:t>All activities must be run in compliance with the Parish Safeguarding policy and the Parish Health &amp; Safety policy which can be found on our website: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6"/>
                <w:szCs w:val="26"/>
              </w:rPr>
            </w:pPr>
            <w:hyperlink r:id="rId4">
              <w:r>
                <w:rPr>
                  <w:rStyle w:val="Hyperlink"/>
                  <w:rFonts w:eastAsia="Calibri" w:cs="Arial"/>
                  <w:kern w:val="0"/>
                  <w:sz w:val="26"/>
                  <w:szCs w:val="26"/>
                  <w:lang w:val="en-US" w:eastAsia="en-US" w:bidi="ar-SA"/>
                </w:rPr>
                <w:t>https://www.ctmparish.org.uk/policies/safeguarding/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sz w:val="26"/>
                <w:szCs w:val="26"/>
              </w:rPr>
            </w:pPr>
            <w:hyperlink r:id="rId5">
              <w:r>
                <w:rPr>
                  <w:rStyle w:val="Hyperlink"/>
                  <w:rFonts w:eastAsia="Calibri" w:cs="Arial"/>
                  <w:kern w:val="0"/>
                  <w:sz w:val="26"/>
                  <w:szCs w:val="26"/>
                  <w:lang w:val="en-US" w:eastAsia="en-US" w:bidi="ar-SA"/>
                </w:rPr>
                <w:t>https://www.ctmparish.org.uk/policies/health-safety-policy/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Style w:val="Hyperlink"/>
                <w:rFonts w:cs="Calibri" w:cstheme="minorHAnsi"/>
                <w:color w:val="auto"/>
                <w:sz w:val="26"/>
                <w:szCs w:val="26"/>
                <w:u w:val="none"/>
              </w:rPr>
            </w:pPr>
            <w:r>
              <w:rPr>
                <w:rFonts w:eastAsia="Calibri" w:cs="Calibri" w:cstheme="minorHAnsi"/>
                <w:color w:val="auto"/>
                <w:kern w:val="0"/>
                <w:sz w:val="26"/>
                <w:szCs w:val="26"/>
                <w:u w:val="none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6"/>
                <w:szCs w:val="26"/>
              </w:rPr>
            </w:pPr>
            <w:r>
              <w:rPr>
                <w:rFonts w:eastAsia="Calibri" w:cs="Calibri" w:cstheme="minorHAnsi"/>
                <w:kern w:val="0"/>
                <w:sz w:val="26"/>
                <w:szCs w:val="26"/>
                <w:lang w:val="en-US" w:eastAsia="en-US" w:bidi="ar-SA"/>
              </w:rPr>
              <w:t>Parish Safeguarding Officer:</w:t>
              <w:tab/>
            </w:r>
            <w:r>
              <w:rPr>
                <w:rFonts w:eastAsia="Calibri" w:cs="Calibri" w:cstheme="minorHAnsi"/>
                <w:kern w:val="0"/>
                <w:sz w:val="26"/>
                <w:szCs w:val="26"/>
                <w:lang w:val="en-US" w:eastAsia="en-US" w:bidi="ar-SA"/>
              </w:rPr>
              <w:t>Gill Andrews</w:t>
            </w:r>
            <w:r>
              <w:rPr>
                <w:rFonts w:eastAsia="Calibri" w:cs="Calibri" w:cstheme="minorHAnsi"/>
                <w:kern w:val="0"/>
                <w:sz w:val="26"/>
                <w:szCs w:val="26"/>
                <w:lang w:val="en-US" w:eastAsia="en-US" w:bidi="ar-SA"/>
              </w:rPr>
              <w:t xml:space="preserve"> - </w:t>
            </w:r>
            <w:hyperlink r:id="rId6">
              <w:r>
                <w:rPr>
                  <w:rStyle w:val="Hyperlink"/>
                  <w:rFonts w:eastAsia="Calibri" w:cs="Calibri" w:cstheme="minorHAnsi"/>
                  <w:kern w:val="0"/>
                  <w:sz w:val="26"/>
                  <w:szCs w:val="26"/>
                  <w:lang w:val="en-US" w:eastAsia="en-US" w:bidi="ar-SA"/>
                </w:rPr>
                <w:t>safeguarding@ctmparish.org.uk</w:t>
              </w:r>
            </w:hyperlink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6"/>
                <w:szCs w:val="26"/>
              </w:rPr>
            </w:pPr>
            <w:r>
              <w:rPr>
                <w:rFonts w:eastAsia="Calibri" w:cs="Calibri" w:cstheme="minorHAnsi"/>
                <w:kern w:val="0"/>
                <w:sz w:val="26"/>
                <w:szCs w:val="26"/>
                <w:lang w:val="en-US" w:eastAsia="en-US" w:bidi="ar-SA"/>
              </w:rPr>
              <w:t>Parish H &amp; S Co-ordinator:</w:t>
              <w:tab/>
              <w:tab/>
              <w:t xml:space="preserve">Richard Havelock - c/o </w:t>
            </w:r>
            <w:hyperlink r:id="rId7">
              <w:r>
                <w:rPr>
                  <w:rStyle w:val="Hyperlink"/>
                  <w:rFonts w:eastAsia="Calibri" w:cs="Calibri" w:cstheme="minorHAnsi"/>
                  <w:kern w:val="0"/>
                  <w:sz w:val="26"/>
                  <w:szCs w:val="26"/>
                  <w:lang w:val="en-US" w:eastAsia="en-US" w:bidi="ar-SA"/>
                </w:rPr>
                <w:t>admin@ctmparish.org.uk</w:t>
              </w:r>
            </w:hyperlink>
          </w:p>
        </w:tc>
      </w:tr>
      <w:tr>
        <w:trPr>
          <w:trHeight w:val="300" w:hRule="atLeast"/>
        </w:trPr>
        <w:tc>
          <w:tcPr>
            <w:tcW w:w="21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  <w:t>0 - 2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  <w:t>1 - 3</w:t>
            </w:r>
          </w:p>
        </w:tc>
        <w:tc>
          <w:tcPr>
            <w:tcW w:w="42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</w:r>
          </w:p>
        </w:tc>
        <w:tc>
          <w:tcPr>
            <w:tcW w:w="1119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21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  <w:t>2 - 3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  <w:t>1 - 4</w:t>
            </w:r>
          </w:p>
        </w:tc>
        <w:tc>
          <w:tcPr>
            <w:tcW w:w="42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</w:r>
          </w:p>
        </w:tc>
        <w:tc>
          <w:tcPr>
            <w:tcW w:w="1119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21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  <w:t>4 - 8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  <w:t>1 - 6</w:t>
            </w:r>
          </w:p>
        </w:tc>
        <w:tc>
          <w:tcPr>
            <w:tcW w:w="42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</w:r>
          </w:p>
        </w:tc>
        <w:tc>
          <w:tcPr>
            <w:tcW w:w="1119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21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  <w:t>9 - 12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  <w:t>1 - 8</w:t>
            </w:r>
          </w:p>
        </w:tc>
        <w:tc>
          <w:tcPr>
            <w:tcW w:w="42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</w:r>
          </w:p>
        </w:tc>
        <w:tc>
          <w:tcPr>
            <w:tcW w:w="1119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21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  <w:t>13 - 18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  <w:t>1 - 10</w:t>
            </w:r>
          </w:p>
        </w:tc>
        <w:tc>
          <w:tcPr>
            <w:tcW w:w="425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</w:r>
          </w:p>
        </w:tc>
        <w:tc>
          <w:tcPr>
            <w:tcW w:w="1119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cs="Calibri" w:cs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tbl>
      <w:tblPr>
        <w:tblStyle w:val="TableGrid"/>
        <w:tblW w:w="1545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87"/>
        <w:gridCol w:w="6519"/>
        <w:gridCol w:w="851"/>
        <w:gridCol w:w="2694"/>
      </w:tblGrid>
      <w:tr>
        <w:trPr/>
        <w:tc>
          <w:tcPr>
            <w:tcW w:w="538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120" w:after="16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  <w:t>Signature of person completing assessment</w:t>
            </w:r>
          </w:p>
        </w:tc>
        <w:tc>
          <w:tcPr>
            <w:tcW w:w="6519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120" w:after="16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</w:r>
          </w:p>
        </w:tc>
        <w:tc>
          <w:tcPr>
            <w:tcW w:w="85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120" w:after="160"/>
              <w:jc w:val="end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  <w:t>Date</w:t>
            </w:r>
          </w:p>
        </w:tc>
        <w:tc>
          <w:tcPr>
            <w:tcW w:w="2694" w:type="dxa"/>
            <w:tcBorders>
              <w:top w:val="nil"/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120" w:after="16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</w:r>
          </w:p>
        </w:tc>
      </w:tr>
      <w:tr>
        <w:trPr/>
        <w:tc>
          <w:tcPr>
            <w:tcW w:w="5387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120" w:after="16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  <w:t>Secondary signature</w:t>
            </w:r>
          </w:p>
        </w:tc>
        <w:tc>
          <w:tcPr>
            <w:tcW w:w="6519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120" w:after="16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</w:r>
          </w:p>
        </w:tc>
        <w:tc>
          <w:tcPr>
            <w:tcW w:w="851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120" w:after="160"/>
              <w:jc w:val="end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  <w:t>Date</w:t>
            </w:r>
          </w:p>
        </w:tc>
        <w:tc>
          <w:tcPr>
            <w:tcW w:w="2694" w:type="dxa"/>
            <w:tcBorders>
              <w:start w:val="nil"/>
              <w:end w:val="nil"/>
            </w:tcBorders>
          </w:tcPr>
          <w:p>
            <w:pPr>
              <w:pStyle w:val="Normal"/>
              <w:widowControl/>
              <w:spacing w:lineRule="auto" w:line="240" w:before="120" w:after="160"/>
              <w:jc w:val="start"/>
              <w:rPr>
                <w:rFonts w:cs="Calibri" w:cstheme="minorHAnsi"/>
                <w:sz w:val="28"/>
                <w:szCs w:val="28"/>
              </w:rPr>
            </w:pPr>
            <w:r>
              <w:rPr>
                <w:rFonts w:eastAsia="Calibri" w:cs="Calibri" w:cstheme="minorHAnsi"/>
                <w:kern w:val="0"/>
                <w:sz w:val="28"/>
                <w:szCs w:val="28"/>
                <w:lang w:val="en-US" w:eastAsia="en-US" w:bidi="ar-SA"/>
              </w:rPr>
            </w:r>
          </w:p>
        </w:tc>
      </w:tr>
      <w:tr>
        <w:trPr/>
        <w:tc>
          <w:tcPr>
            <w:tcW w:w="15451" w:type="dxa"/>
            <w:gridSpan w:val="4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auto" w:line="240" w:before="0" w:after="120"/>
              <w:jc w:val="start"/>
              <w:rPr>
                <w:rFonts w:cs="Calibri" w:cstheme="minorHAnsi"/>
                <w:i/>
                <w:iCs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en-US" w:eastAsia="en-US" w:bidi="ar-SA"/>
              </w:rPr>
              <w:t>for children, young people and vulnerable adults, assessments should be sent to the Parish Safeguarding Officer, in all other cases, send to a churchwarden</w:t>
            </w:r>
          </w:p>
        </w:tc>
      </w:tr>
    </w:tbl>
    <w:p>
      <w:pPr>
        <w:pStyle w:val="Normal"/>
        <w:spacing w:lineRule="auto" w:line="240" w:before="0" w:after="0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  <w:r>
        <w:br w:type="page"/>
      </w:r>
    </w:p>
    <w:tbl>
      <w:tblPr>
        <w:tblStyle w:val="TableGrid"/>
        <w:tblW w:w="1558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1" w:val="06a0"/>
      </w:tblPr>
      <w:tblGrid>
        <w:gridCol w:w="2405"/>
        <w:gridCol w:w="1275"/>
        <w:gridCol w:w="1417"/>
        <w:gridCol w:w="4396"/>
        <w:gridCol w:w="1417"/>
        <w:gridCol w:w="3544"/>
        <w:gridCol w:w="1134"/>
      </w:tblGrid>
      <w:tr>
        <w:trPr>
          <w:trHeight w:val="300" w:hRule="atLeast"/>
        </w:trPr>
        <w:tc>
          <w:tcPr>
            <w:tcW w:w="15588" w:type="dxa"/>
            <w:gridSpan w:val="7"/>
            <w:tcBorders/>
          </w:tcPr>
          <w:p>
            <w:pPr>
              <w:pStyle w:val="Normal"/>
              <w:pageBreakBefore/>
              <w:widowControl/>
              <w:spacing w:lineRule="auto" w:line="240" w:before="0" w:after="0"/>
              <w:jc w:val="center"/>
              <w:rPr>
                <w:rFonts w:cs="Calibri" w:cstheme="minorHAnsi"/>
                <w:i/>
                <w:iCs/>
                <w:sz w:val="28"/>
                <w:szCs w:val="28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8"/>
                <w:szCs w:val="28"/>
                <w:lang w:val="en-US" w:eastAsia="en-US" w:bidi="ar-SA"/>
              </w:rPr>
              <w:t>Some examples of common hazards have been given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i/>
                <w:iCs/>
                <w:sz w:val="32"/>
                <w:szCs w:val="32"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8"/>
                <w:szCs w:val="28"/>
                <w:lang w:val="en-US" w:eastAsia="en-US" w:bidi="ar-SA"/>
              </w:rPr>
              <w:t>Please amend to your particular situation and add further specific hazards of your activity and environment</w:t>
            </w:r>
          </w:p>
        </w:tc>
      </w:tr>
      <w:tr>
        <w:trPr>
          <w:trHeight w:val="300" w:hRule="atLeast"/>
        </w:trPr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sz w:val="28"/>
                <w:szCs w:val="28"/>
              </w:rPr>
            </w:pPr>
            <w:r>
              <w:rPr>
                <w:rFonts w:eastAsia="Calibri" w:cs="Calibri" w:cstheme="minorHAnsi"/>
                <w:b/>
                <w:kern w:val="0"/>
                <w:sz w:val="28"/>
                <w:szCs w:val="28"/>
                <w:lang w:val="en-US" w:eastAsia="en-US" w:bidi="ar-SA"/>
              </w:rPr>
              <w:t>Hazard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32"/>
                <w:szCs w:val="32"/>
              </w:rPr>
            </w:pPr>
            <w:r>
              <w:rPr>
                <w:rFonts w:eastAsia="Calibri" w:cs="Calibri" w:cstheme="minorHAnsi"/>
                <w:i/>
                <w:kern w:val="0"/>
                <w:sz w:val="24"/>
                <w:szCs w:val="24"/>
                <w:lang w:val="en-US" w:eastAsia="en-US" w:bidi="ar-SA"/>
              </w:rPr>
              <w:t>eg. Weather, trips and falls, moving heavy objects, group specific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bCs/>
                <w:sz w:val="32"/>
                <w:szCs w:val="32"/>
              </w:rPr>
            </w:pPr>
            <w:r>
              <w:rPr>
                <w:rFonts w:eastAsia="Calibri" w:cs="Calibri" w:cstheme="minorHAnsi"/>
                <w:b/>
                <w:kern w:val="0"/>
                <w:sz w:val="28"/>
                <w:szCs w:val="28"/>
                <w:lang w:val="en-US" w:eastAsia="en-US" w:bidi="ar-SA"/>
              </w:rPr>
              <w:t>Persons at risk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eastAsia="Calibri" w:cs="Calibri" w:cstheme="minorHAnsi"/>
                <w:b/>
                <w:kern w:val="0"/>
                <w:sz w:val="28"/>
                <w:szCs w:val="28"/>
                <w:lang w:val="en-US" w:eastAsia="en-US" w:bidi="ar-SA"/>
              </w:rPr>
              <w:t>Risk Analysis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i/>
                <w:iCs/>
                <w:sz w:val="24"/>
                <w:szCs w:val="24"/>
              </w:rPr>
            </w:pPr>
            <w:r>
              <w:rPr>
                <w:rFonts w:eastAsia="Calibri" w:cs="Calibri" w:cstheme="minorHAnsi"/>
                <w:i/>
                <w:kern w:val="0"/>
                <w:sz w:val="24"/>
                <w:szCs w:val="24"/>
                <w:lang w:val="en-US" w:eastAsia="en-US" w:bidi="ar-SA"/>
              </w:rPr>
              <w:t>Low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i/>
                <w:sz w:val="24"/>
                <w:szCs w:val="24"/>
              </w:rPr>
            </w:pPr>
            <w:r>
              <w:rPr>
                <w:rFonts w:eastAsia="Calibri" w:cs="Calibri" w:cstheme="minorHAnsi"/>
                <w:i/>
                <w:kern w:val="0"/>
                <w:sz w:val="24"/>
                <w:szCs w:val="24"/>
                <w:lang w:val="en-US" w:eastAsia="en-US" w:bidi="ar-SA"/>
              </w:rPr>
              <w:t>Medium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i/>
                <w:sz w:val="24"/>
                <w:szCs w:val="24"/>
              </w:rPr>
            </w:pPr>
            <w:r>
              <w:rPr>
                <w:rFonts w:eastAsia="Calibri" w:cs="Calibri" w:cstheme="minorHAnsi"/>
                <w:i/>
                <w:kern w:val="0"/>
                <w:sz w:val="24"/>
                <w:szCs w:val="24"/>
                <w:lang w:val="en-US" w:eastAsia="en-US" w:bidi="ar-SA"/>
              </w:rPr>
              <w:t>High</w:t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sz w:val="28"/>
                <w:szCs w:val="28"/>
              </w:rPr>
            </w:pPr>
            <w:r>
              <w:rPr>
                <w:rFonts w:eastAsia="Calibri" w:cs="Calibri" w:cstheme="minorHAnsi"/>
                <w:b/>
                <w:kern w:val="0"/>
                <w:sz w:val="28"/>
                <w:szCs w:val="28"/>
                <w:lang w:val="en-US" w:eastAsia="en-US" w:bidi="ar-SA"/>
              </w:rPr>
              <w:t>Control Measures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i/>
                <w:sz w:val="24"/>
                <w:szCs w:val="24"/>
              </w:rPr>
            </w:pPr>
            <w:r>
              <w:rPr>
                <w:rFonts w:eastAsia="Calibri" w:cs="Calibri" w:cstheme="minorHAnsi"/>
                <w:i/>
                <w:kern w:val="0"/>
                <w:sz w:val="24"/>
                <w:szCs w:val="24"/>
                <w:lang w:val="en-US" w:eastAsia="en-US" w:bidi="ar-SA"/>
              </w:rPr>
              <w:t>Adequate information / instruction / training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i/>
                <w:kern w:val="0"/>
                <w:sz w:val="24"/>
                <w:szCs w:val="24"/>
                <w:lang w:val="en-US" w:eastAsia="en-US" w:bidi="ar-SA"/>
              </w:rPr>
              <w:t>Correct equipment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sz w:val="28"/>
                <w:szCs w:val="28"/>
              </w:rPr>
            </w:pPr>
            <w:r>
              <w:rPr>
                <w:rFonts w:eastAsia="Calibri" w:cs="Calibri" w:cstheme="minorHAnsi"/>
                <w:b/>
                <w:kern w:val="0"/>
                <w:sz w:val="28"/>
                <w:szCs w:val="28"/>
                <w:lang w:val="en-US" w:eastAsia="en-US" w:bidi="ar-SA"/>
              </w:rPr>
              <w:t>Mitigated Risk Analysis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i/>
                <w:iCs/>
                <w:sz w:val="24"/>
                <w:szCs w:val="24"/>
              </w:rPr>
            </w:pPr>
            <w:r>
              <w:rPr>
                <w:rFonts w:eastAsia="Calibri" w:cs="Calibri" w:cstheme="minorHAnsi"/>
                <w:i/>
                <w:kern w:val="0"/>
                <w:sz w:val="24"/>
                <w:szCs w:val="24"/>
                <w:lang w:val="en-US" w:eastAsia="en-US" w:bidi="ar-SA"/>
              </w:rPr>
              <w:t>Low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i/>
                <w:sz w:val="24"/>
                <w:szCs w:val="24"/>
              </w:rPr>
            </w:pPr>
            <w:r>
              <w:rPr>
                <w:rFonts w:eastAsia="Calibri" w:cs="Calibri" w:cstheme="minorHAnsi"/>
                <w:i/>
                <w:kern w:val="0"/>
                <w:sz w:val="24"/>
                <w:szCs w:val="24"/>
                <w:lang w:val="en-US" w:eastAsia="en-US" w:bidi="ar-SA"/>
              </w:rPr>
              <w:t>Medium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sz w:val="28"/>
                <w:szCs w:val="28"/>
              </w:rPr>
            </w:pPr>
            <w:r>
              <w:rPr>
                <w:rFonts w:eastAsia="Calibri" w:cs="Calibri" w:cstheme="minorHAnsi"/>
                <w:i/>
                <w:kern w:val="0"/>
                <w:sz w:val="24"/>
                <w:szCs w:val="24"/>
                <w:lang w:val="en-US" w:eastAsia="en-US" w:bidi="ar-SA"/>
              </w:rPr>
              <w:t>High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sz w:val="28"/>
                <w:szCs w:val="28"/>
              </w:rPr>
            </w:pPr>
            <w:r>
              <w:rPr>
                <w:rFonts w:eastAsia="Calibri" w:cs="Calibri" w:cstheme="minorHAnsi"/>
                <w:b/>
                <w:kern w:val="0"/>
                <w:sz w:val="28"/>
                <w:szCs w:val="28"/>
                <w:lang w:val="en-US" w:eastAsia="en-US" w:bidi="ar-SA"/>
              </w:rPr>
              <w:t>Comments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i/>
                <w:sz w:val="24"/>
                <w:szCs w:val="24"/>
              </w:rPr>
            </w:pPr>
            <w:r>
              <w:rPr>
                <w:rFonts w:eastAsia="Calibri" w:cs="Calibri" w:cstheme="minorHAnsi"/>
                <w:i/>
                <w:kern w:val="0"/>
                <w:sz w:val="24"/>
                <w:szCs w:val="24"/>
                <w:lang w:val="en-US" w:eastAsia="en-US" w:bidi="ar-SA"/>
              </w:rPr>
              <w:t>Any additional training needed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cs="Calibri" w:cstheme="minorHAnsi"/>
                <w:sz w:val="32"/>
                <w:szCs w:val="32"/>
              </w:rPr>
            </w:pPr>
            <w:r>
              <w:rPr>
                <w:rFonts w:eastAsia="Calibri" w:cs="Calibri" w:cstheme="minorHAnsi"/>
                <w:i/>
                <w:kern w:val="0"/>
                <w:sz w:val="24"/>
                <w:szCs w:val="24"/>
                <w:lang w:val="en-US" w:eastAsia="en-US" w:bidi="ar-SA"/>
              </w:rPr>
              <w:t>Try a less risky option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Calibri" w:cstheme="minorHAnsi"/>
                <w:b/>
                <w:sz w:val="28"/>
                <w:szCs w:val="28"/>
              </w:rPr>
            </w:pPr>
            <w:r>
              <w:rPr>
                <w:rFonts w:eastAsia="Calibri" w:cs="Calibri" w:cstheme="minorHAnsi"/>
                <w:b/>
                <w:kern w:val="0"/>
                <w:sz w:val="28"/>
                <w:szCs w:val="28"/>
                <w:lang w:val="en-US" w:eastAsia="en-US" w:bidi="ar-SA"/>
              </w:rPr>
              <w:t>Action by</w:t>
            </w:r>
          </w:p>
        </w:tc>
      </w:tr>
      <w:tr>
        <w:trPr>
          <w:trHeight w:val="300" w:hRule="atLeast"/>
        </w:trPr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eastAsia="Calibri"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eastAsia="Calibri" w:cs="Calibri" w:cstheme="minorHAnsi"/>
                <w:color w:val="242424"/>
                <w:sz w:val="24"/>
                <w:szCs w:val="24"/>
              </w:rPr>
            </w:pPr>
            <w:r>
              <w:rPr>
                <w:rFonts w:eastAsia="Calibri" w:cs="Calibri" w:cstheme="minorHAnsi"/>
                <w:color w:val="242424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eastAsia="Calibri"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eastAsia="Calibri"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eastAsia="Calibri"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240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center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240"/>
              <w:jc w:val="start"/>
              <w:rPr>
                <w:rFonts w:cs="Calibri" w:cstheme="minorHAnsi"/>
                <w:sz w:val="24"/>
                <w:szCs w:val="24"/>
              </w:rPr>
            </w:pPr>
            <w:r>
              <w:rPr>
                <w:rFonts w:eastAsia="Calibri" w:cs="Calibri" w:cstheme="minorHAnsi"/>
                <w:kern w:val="0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Normal"/>
        <w:spacing w:before="0" w:after="160"/>
        <w:rPr>
          <w:rFonts w:cs="Calibri" w:cstheme="minorHAnsi"/>
          <w:sz w:val="8"/>
          <w:szCs w:val="8"/>
        </w:rPr>
      </w:pPr>
      <w:r>
        <w:rPr>
          <w:rFonts w:cs="Calibri" w:cstheme="minorHAnsi"/>
          <w:sz w:val="8"/>
          <w:szCs w:val="8"/>
        </w:rPr>
      </w:r>
    </w:p>
    <w:sectPr>
      <w:type w:val="nextPage"/>
      <w:pgSz w:orient="landscape" w:w="16838" w:h="11906"/>
      <w:pgMar w:left="720" w:right="720" w:gutter="0" w:header="0" w:top="568" w:footer="0" w:bottom="68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3f1cab"/>
    <w:rPr>
      <w:color w:themeColor="hyperlink" w:val="0563C1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qFormat/>
    <w:rsid w:val="00ea7263"/>
    <w:rPr>
      <w:color w:val="605E5C"/>
      <w:shd w:fill="E1DFDD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70d39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6c79ee"/>
    <w:rPr>
      <w:color w:themeColor="followedHyperlink" w:val="954F72"/>
      <w:u w:val="single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b75e95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b75e95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e68e0"/>
    <w:pPr>
      <w:spacing w:before="0" w:after="160"/>
      <w:ind w:star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b75e95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b75e95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admin@ctmparish.org.uk" TargetMode="External"/><Relationship Id="rId4" Type="http://schemas.openxmlformats.org/officeDocument/2006/relationships/hyperlink" Target="https://www.ctmparish.org.uk/policies/safeguarding/" TargetMode="External"/><Relationship Id="rId5" Type="http://schemas.openxmlformats.org/officeDocument/2006/relationships/hyperlink" Target="https://www.ctmparish.org.uk/policies/health-safety-policy/" TargetMode="External"/><Relationship Id="rId6" Type="http://schemas.openxmlformats.org/officeDocument/2006/relationships/hyperlink" Target="mailto:safeguarding@ctmparish.org.uk" TargetMode="External"/><Relationship Id="rId7" Type="http://schemas.openxmlformats.org/officeDocument/2006/relationships/hyperlink" Target="mailto:admin@ctmparish.org.uk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LibreOffice/26.2.0.3$Windows_X86_64 LibreOffice_project/620$Build-3</Application>
  <AppVersion>15.0000</AppVersion>
  <Pages>2</Pages>
  <Words>227</Words>
  <Characters>1289</Characters>
  <CharactersWithSpaces>1469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2023-12-06T10:23:00Z</dcterms:created>
  <dc:creator>pam asbury</dc:creator>
  <dc:description/>
  <dc:language>en-GB</dc:language>
  <cp:lastModifiedBy>John Cooke</cp:lastModifiedBy>
  <cp:lastPrinted>2023-12-06T10:23:00Z</cp:lastPrinted>
  <dcterms:modified xsi:type="dcterms:W3CDTF">2026-07-13T18:04:07Z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